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4797E">
      <w:pPr>
        <w:spacing w:line="460" w:lineRule="exac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表2</w:t>
      </w:r>
    </w:p>
    <w:p w14:paraId="23A2436C">
      <w:pPr>
        <w:spacing w:line="440" w:lineRule="atLeast"/>
        <w:rPr>
          <w:rFonts w:hint="eastAsia" w:ascii="宋体" w:hAnsi="宋体"/>
          <w:b/>
          <w:szCs w:val="21"/>
        </w:rPr>
      </w:pPr>
    </w:p>
    <w:tbl>
      <w:tblPr>
        <w:tblStyle w:val="7"/>
        <w:tblW w:w="9515" w:type="dxa"/>
        <w:tblInd w:w="-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8820"/>
      </w:tblGrid>
      <w:tr w14:paraId="4D45D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95" w:type="dxa"/>
            <w:vAlign w:val="center"/>
          </w:tcPr>
          <w:p w14:paraId="3D729F1E">
            <w:pPr>
              <w:spacing w:line="240" w:lineRule="exact"/>
              <w:ind w:left="-106" w:leftChars="-51" w:right="-107" w:rightChars="-51" w:hanging="1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系统</w:t>
            </w:r>
          </w:p>
          <w:p w14:paraId="3C7753D1">
            <w:pPr>
              <w:spacing w:line="240" w:lineRule="exact"/>
              <w:ind w:left="-106" w:leftChars="-51" w:right="-107" w:rightChars="-51" w:hanging="1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名称</w:t>
            </w:r>
          </w:p>
        </w:tc>
        <w:tc>
          <w:tcPr>
            <w:tcW w:w="8820" w:type="dxa"/>
            <w:vAlign w:val="center"/>
          </w:tcPr>
          <w:p w14:paraId="2504AD62">
            <w:pPr>
              <w:spacing w:line="240" w:lineRule="exact"/>
              <w:jc w:val="center"/>
              <w:rPr>
                <w:rFonts w:ascii="宋体" w:hAnsi="宋体"/>
                <w:b/>
                <w:sz w:val="20"/>
                <w:szCs w:val="20"/>
              </w:rPr>
            </w:pPr>
            <w:bookmarkStart w:id="0" w:name="_GoBack"/>
            <w:r>
              <w:rPr>
                <w:rFonts w:ascii="宋体" w:hAnsi="宋体"/>
                <w:b/>
                <w:sz w:val="20"/>
                <w:szCs w:val="20"/>
              </w:rPr>
              <w:t xml:space="preserve">检 查 维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护</w:t>
            </w:r>
            <w:r>
              <w:rPr>
                <w:rFonts w:ascii="宋体" w:hAnsi="宋体"/>
                <w:b/>
                <w:sz w:val="20"/>
                <w:szCs w:val="20"/>
              </w:rPr>
              <w:t xml:space="preserve"> 保 养 要 求</w:t>
            </w:r>
            <w:bookmarkEnd w:id="0"/>
          </w:p>
        </w:tc>
      </w:tr>
      <w:tr w14:paraId="6F8D9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695" w:type="dxa"/>
            <w:vAlign w:val="center"/>
          </w:tcPr>
          <w:p w14:paraId="4191CA7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3C06275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灾</w:t>
            </w:r>
          </w:p>
          <w:p w14:paraId="2BBA0B6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自</w:t>
            </w:r>
          </w:p>
          <w:p w14:paraId="16CBA3C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动</w:t>
            </w:r>
          </w:p>
          <w:p w14:paraId="417F435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报</w:t>
            </w:r>
          </w:p>
          <w:p w14:paraId="6A92F9A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警</w:t>
            </w:r>
          </w:p>
          <w:p w14:paraId="3F37A41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</w:t>
            </w:r>
          </w:p>
          <w:p w14:paraId="454FDBF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统</w:t>
            </w:r>
          </w:p>
        </w:tc>
        <w:tc>
          <w:tcPr>
            <w:tcW w:w="8820" w:type="dxa"/>
            <w:vAlign w:val="center"/>
          </w:tcPr>
          <w:p w14:paraId="2601B2AF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每日检查火灾报警控制器自检功能、消音复位功能、故障报警功能、火灾优先功能、报警记忆功能和主</w:t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备电源自动转换功能（该项工作由消防</w:t>
            </w:r>
            <w:r>
              <w:rPr>
                <w:rFonts w:hint="eastAsia" w:ascii="宋体" w:hAnsi="宋体"/>
                <w:sz w:val="20"/>
                <w:szCs w:val="20"/>
              </w:rPr>
              <w:t>控制室</w:t>
            </w:r>
            <w:r>
              <w:rPr>
                <w:rFonts w:ascii="宋体" w:hAnsi="宋体"/>
                <w:sz w:val="20"/>
                <w:szCs w:val="20"/>
              </w:rPr>
              <w:t>值班人员完成）</w:t>
            </w:r>
            <w:r>
              <w:rPr>
                <w:rFonts w:hint="eastAsia" w:ascii="宋体" w:hAnsi="宋体"/>
                <w:sz w:val="20"/>
                <w:szCs w:val="20"/>
              </w:rPr>
              <w:t>。</w:t>
            </w:r>
          </w:p>
          <w:p w14:paraId="5A0B56C1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每月检查消防控制室或消防值班工作环境以及火灾报警控制</w:t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联动控制器、层显（或区域控制器）、手动报警按钮等是否处于正常完好状态。</w:t>
            </w:r>
          </w:p>
          <w:p w14:paraId="2499F6AE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3、每季度检查下列功能：</w:t>
            </w:r>
          </w:p>
          <w:p w14:paraId="42FD7F7D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1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⑴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采用检测设备分期分批试验探测器的工作情况，检测数量不少于总数的30%。</w:t>
            </w:r>
          </w:p>
          <w:p w14:paraId="25B7A4C1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2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⑵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试验手动报警按钮报警功能，抽检数量 不少于总数的30%。</w:t>
            </w:r>
          </w:p>
          <w:p w14:paraId="5889EA70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3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⑶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对主机备用电源进行充放电试验。</w:t>
            </w:r>
          </w:p>
          <w:p w14:paraId="73BA9CBA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⑷、</w:t>
            </w:r>
            <w:r>
              <w:rPr>
                <w:rFonts w:ascii="宋体" w:hAnsi="宋体"/>
                <w:sz w:val="20"/>
                <w:szCs w:val="20"/>
              </w:rPr>
              <w:t xml:space="preserve">自动或手动试验相关消防联动控制设备的控制和显示功能。 </w:t>
            </w:r>
          </w:p>
        </w:tc>
      </w:tr>
      <w:tr w14:paraId="3F672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atLeast"/>
        </w:trPr>
        <w:tc>
          <w:tcPr>
            <w:tcW w:w="695" w:type="dxa"/>
            <w:vAlign w:val="center"/>
          </w:tcPr>
          <w:p w14:paraId="403A912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自</w:t>
            </w:r>
          </w:p>
          <w:p w14:paraId="0C07175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动</w:t>
            </w:r>
          </w:p>
          <w:p w14:paraId="1BD0EFB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喷</w:t>
            </w:r>
          </w:p>
          <w:p w14:paraId="01EABC2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水</w:t>
            </w:r>
          </w:p>
          <w:p w14:paraId="549669E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灭</w:t>
            </w:r>
          </w:p>
          <w:p w14:paraId="4D4177DB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29349A8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</w:t>
            </w:r>
          </w:p>
          <w:p w14:paraId="784F317C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统</w:t>
            </w:r>
          </w:p>
        </w:tc>
        <w:tc>
          <w:tcPr>
            <w:tcW w:w="8820" w:type="dxa"/>
            <w:vAlign w:val="center"/>
          </w:tcPr>
          <w:p w14:paraId="67082544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每月检查消防泵房工作环境及消防泵、稳压设备、电源控制柜、湿式报警阀、管网阀门、喷头、水泵接合器、储水设施等是否处于正常完好状态。试验内燃机驱动的消防泵能否正常工作。</w:t>
            </w:r>
          </w:p>
          <w:p w14:paraId="6CE8E925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每月检查下列功能：</w:t>
            </w:r>
          </w:p>
          <w:p w14:paraId="3F409BC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1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⑴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启动消防泵，当消防泵为自动控制启动时，应模拟自动控制的条件进行启动。设备用泵时，应同时试验主、备泵的切换功能。</w:t>
            </w:r>
          </w:p>
          <w:p w14:paraId="0C7F8753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2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⑵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利用报警阀上的放水阀试验系统的供水情况。</w:t>
            </w:r>
          </w:p>
          <w:p w14:paraId="660F12FE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3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⑶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利用末端放水装置放水，验证水流指示器和压力开关的报警功能、自动启泵功能和信号显示，抽查数量不少于总数的20%。</w:t>
            </w:r>
          </w:p>
        </w:tc>
      </w:tr>
      <w:tr w14:paraId="05235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5" w:hRule="atLeast"/>
        </w:trPr>
        <w:tc>
          <w:tcPr>
            <w:tcW w:w="695" w:type="dxa"/>
            <w:vAlign w:val="center"/>
          </w:tcPr>
          <w:p w14:paraId="53BD085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消</w:t>
            </w:r>
          </w:p>
          <w:p w14:paraId="0CDBFC4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108CCC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栓</w:t>
            </w:r>
          </w:p>
          <w:p w14:paraId="1AC77BF5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灭</w:t>
            </w:r>
          </w:p>
          <w:p w14:paraId="36EB622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602BB51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</w:t>
            </w:r>
          </w:p>
          <w:p w14:paraId="7F275B9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统</w:t>
            </w:r>
          </w:p>
        </w:tc>
        <w:tc>
          <w:tcPr>
            <w:tcW w:w="8820" w:type="dxa"/>
            <w:vAlign w:val="center"/>
          </w:tcPr>
          <w:p w14:paraId="7F53DCFB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每月检查消防泵工作环境及消防泵、稳压设备、电源控制柜、管网、阀门、水泵接合器、室内外消火栓、储水设施等是否处于正常完好的状态。试验内燃机驱动的消防泵能否正常工作。</w:t>
            </w:r>
          </w:p>
          <w:p w14:paraId="17E0A80C">
            <w:pPr>
              <w:numPr>
                <w:ilvl w:val="0"/>
                <w:numId w:val="1"/>
              </w:numPr>
              <w:tabs>
                <w:tab w:val="clear" w:pos="360"/>
              </w:tabs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每月检查下列功能：</w:t>
            </w:r>
          </w:p>
          <w:p w14:paraId="79870845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1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⑴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启动消防泵，当消防水泵为自动控制启动时，应模拟自动控制条件进行启动。设备用泵时，应同时试验主、备泵的切换功能。</w:t>
            </w:r>
          </w:p>
          <w:p w14:paraId="416DD0A0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2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⑵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试验远距离启泵按钮启动消防泵，抽检数量不得少于总数的20%。</w:t>
            </w:r>
          </w:p>
          <w:p w14:paraId="504FA568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3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⑶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屋顶消火栓出水，检查管网压力和水质。</w:t>
            </w:r>
          </w:p>
        </w:tc>
      </w:tr>
      <w:tr w14:paraId="17B47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695" w:type="dxa"/>
            <w:vAlign w:val="center"/>
          </w:tcPr>
          <w:p w14:paraId="1B502B3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喷</w:t>
            </w:r>
          </w:p>
          <w:p w14:paraId="0188500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淋</w:t>
            </w:r>
          </w:p>
          <w:p w14:paraId="23A4209D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灭</w:t>
            </w:r>
          </w:p>
          <w:p w14:paraId="43925DD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5AC581C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    统</w:t>
            </w:r>
          </w:p>
        </w:tc>
        <w:tc>
          <w:tcPr>
            <w:tcW w:w="8820" w:type="dxa"/>
            <w:vAlign w:val="center"/>
          </w:tcPr>
          <w:p w14:paraId="557B1E1A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每月检查消防泵房工作环境及消防、稳压设备、电源控制柜、管网、阀门、水泵接合器、喷头、储水设施是否处于正常完好状态，试验内燃机驱动的消防泵是否正常工作。</w:t>
            </w:r>
          </w:p>
          <w:p w14:paraId="22527098">
            <w:pPr>
              <w:numPr>
                <w:ilvl w:val="0"/>
                <w:numId w:val="2"/>
              </w:numPr>
              <w:tabs>
                <w:tab w:val="clear" w:pos="360"/>
              </w:tabs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每月检查下列功能：</w:t>
            </w:r>
          </w:p>
          <w:p w14:paraId="797B28F6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1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⑴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启动消防泵、当消防泵为自动控制启动时，应模拟自动控制</w:t>
            </w:r>
            <w:r>
              <w:rPr>
                <w:rFonts w:hint="eastAsia" w:ascii="宋体" w:hAnsi="宋体"/>
                <w:sz w:val="20"/>
                <w:szCs w:val="20"/>
              </w:rPr>
              <w:t>的</w:t>
            </w:r>
            <w:r>
              <w:rPr>
                <w:rFonts w:ascii="宋体" w:hAnsi="宋体"/>
                <w:sz w:val="20"/>
                <w:szCs w:val="20"/>
              </w:rPr>
              <w:t>条件进行启动。设备用泵时，应同时试验主、备的切换功能。</w:t>
            </w:r>
          </w:p>
          <w:p w14:paraId="5DA89375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2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⑵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、模拟</w:t>
            </w:r>
            <w:r>
              <w:rPr>
                <w:rFonts w:ascii="宋体" w:hAnsi="宋体"/>
                <w:sz w:val="20"/>
                <w:szCs w:val="20"/>
              </w:rPr>
              <w:t>喷淋</w:t>
            </w:r>
            <w:r>
              <w:rPr>
                <w:rFonts w:hint="eastAsia" w:ascii="宋体" w:hAnsi="宋体"/>
                <w:sz w:val="20"/>
                <w:szCs w:val="20"/>
              </w:rPr>
              <w:t>动作</w:t>
            </w:r>
            <w:r>
              <w:rPr>
                <w:rFonts w:ascii="宋体" w:hAnsi="宋体"/>
                <w:sz w:val="20"/>
                <w:szCs w:val="20"/>
              </w:rPr>
              <w:t>试验，检查喷淋</w:t>
            </w:r>
            <w:r>
              <w:rPr>
                <w:rFonts w:hint="eastAsia" w:ascii="宋体" w:hAnsi="宋体"/>
                <w:sz w:val="20"/>
                <w:szCs w:val="20"/>
              </w:rPr>
              <w:t>动作</w:t>
            </w:r>
            <w:r>
              <w:rPr>
                <w:rFonts w:ascii="宋体" w:hAnsi="宋体"/>
                <w:sz w:val="20"/>
                <w:szCs w:val="20"/>
              </w:rPr>
              <w:t>情况，抽检贮藏数量不少于总数的30%。</w:t>
            </w:r>
          </w:p>
        </w:tc>
      </w:tr>
      <w:tr w14:paraId="4AD05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695" w:type="dxa"/>
            <w:vAlign w:val="center"/>
          </w:tcPr>
          <w:p w14:paraId="59B32DC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泡</w:t>
            </w:r>
          </w:p>
          <w:p w14:paraId="5DB8FC09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沫</w:t>
            </w:r>
          </w:p>
          <w:p w14:paraId="3227D5C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灭</w:t>
            </w:r>
          </w:p>
          <w:p w14:paraId="49481F0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7A19FEF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    统</w:t>
            </w:r>
          </w:p>
        </w:tc>
        <w:tc>
          <w:tcPr>
            <w:tcW w:w="8820" w:type="dxa"/>
            <w:vAlign w:val="center"/>
          </w:tcPr>
          <w:p w14:paraId="7FF26009">
            <w:pPr>
              <w:spacing w:line="34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每月检查消防泵房泡沫液装置间工作环境及消防泵、电源控制柜、管网、阀门、水泵接合器、储水设施、泡沫混合器、泡沫发生器、泡沫栓等是否处于正常完好状态。试验内燃机驱动的消防泵能否正常工作。</w:t>
            </w:r>
          </w:p>
          <w:p w14:paraId="3AA64578">
            <w:pPr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2、每月启动消防泵，设备用泵时，应同时试验主、备泵的切换功能。</w:t>
            </w:r>
          </w:p>
          <w:p w14:paraId="2EBAC8DE">
            <w:pPr>
              <w:spacing w:line="340" w:lineRule="exac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3、</w:t>
            </w:r>
            <w:r>
              <w:rPr>
                <w:rFonts w:ascii="宋体" w:hAnsi="宋体"/>
                <w:sz w:val="20"/>
                <w:szCs w:val="20"/>
              </w:rPr>
              <w:t>每年年检时用泡沫栓检查泡沫质量。</w:t>
            </w:r>
          </w:p>
          <w:p w14:paraId="6FE54EB8">
            <w:pPr>
              <w:spacing w:line="340" w:lineRule="exact"/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4、</w:t>
            </w:r>
            <w:r>
              <w:rPr>
                <w:rFonts w:ascii="宋体" w:hAnsi="宋体"/>
                <w:sz w:val="20"/>
                <w:szCs w:val="20"/>
              </w:rPr>
              <w:t>石油化工贮藏定期检测维修时，同时检测维修泡沫发生器。</w:t>
            </w:r>
          </w:p>
        </w:tc>
      </w:tr>
    </w:tbl>
    <w:p w14:paraId="2689DC69">
      <w:pPr>
        <w:rPr>
          <w:rFonts w:hint="eastAsia" w:ascii="宋体" w:hAnsi="宋体"/>
          <w:szCs w:val="21"/>
        </w:rPr>
      </w:pPr>
    </w:p>
    <w:tbl>
      <w:tblPr>
        <w:tblStyle w:val="7"/>
        <w:tblpPr w:leftFromText="180" w:rightFromText="180" w:vertAnchor="text" w:horzAnchor="page" w:tblpX="1417" w:tblpY="430"/>
        <w:tblOverlap w:val="never"/>
        <w:tblW w:w="9754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214"/>
      </w:tblGrid>
      <w:tr w14:paraId="7C472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vAlign w:val="center"/>
          </w:tcPr>
          <w:p w14:paraId="677DC8A2">
            <w:pPr>
              <w:ind w:left="-106" w:leftChars="-51" w:right="-107" w:rightChars="-51" w:hanging="1"/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系统名称</w:t>
            </w:r>
          </w:p>
        </w:tc>
        <w:tc>
          <w:tcPr>
            <w:tcW w:w="9214" w:type="dxa"/>
            <w:vAlign w:val="center"/>
          </w:tcPr>
          <w:p w14:paraId="3B11C042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 xml:space="preserve">检 查 维 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护</w:t>
            </w:r>
            <w:r>
              <w:rPr>
                <w:rFonts w:ascii="宋体" w:hAnsi="宋体"/>
                <w:b/>
                <w:sz w:val="20"/>
                <w:szCs w:val="20"/>
              </w:rPr>
              <w:t xml:space="preserve"> 保 养 要 求</w:t>
            </w:r>
          </w:p>
        </w:tc>
      </w:tr>
      <w:tr w14:paraId="0587B0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540" w:type="dxa"/>
            <w:vAlign w:val="center"/>
          </w:tcPr>
          <w:p w14:paraId="5D81054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气</w:t>
            </w:r>
          </w:p>
          <w:p w14:paraId="5862901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体</w:t>
            </w:r>
          </w:p>
          <w:p w14:paraId="08125A42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灭</w:t>
            </w:r>
          </w:p>
          <w:p w14:paraId="50CD3A9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火</w:t>
            </w:r>
          </w:p>
          <w:p w14:paraId="0DC32EF1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    统</w:t>
            </w:r>
          </w:p>
        </w:tc>
        <w:tc>
          <w:tcPr>
            <w:tcW w:w="9214" w:type="dxa"/>
            <w:vAlign w:val="center"/>
          </w:tcPr>
          <w:p w14:paraId="67866BC8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每月检查贮瓶间及防护区的工作环境以及贮气瓶、选择阀、液体单向阀、高压软管、集流管、阀驱动装置、管网、喷嘴、紧急启动按钮、声光报警装置等是否处于正常完好状态。</w:t>
            </w:r>
          </w:p>
          <w:p w14:paraId="4D022849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每半年检查下列功能：</w:t>
            </w:r>
          </w:p>
          <w:p w14:paraId="5160BC70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1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⑴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对灭火器剂贮存器进行秤重检查，灭火剂净重不得小于设计量的95%。</w:t>
            </w:r>
          </w:p>
          <w:p w14:paraId="07BA1A6F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2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⑵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对每个防护区进行一次模拟自动启动试验，如有问题，则应对相关防护区进行一次模拟喷气试验。</w:t>
            </w:r>
          </w:p>
        </w:tc>
      </w:tr>
      <w:tr w14:paraId="28A76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540" w:type="dxa"/>
            <w:vAlign w:val="center"/>
          </w:tcPr>
          <w:p w14:paraId="6720DE0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防火分隔</w:t>
            </w:r>
          </w:p>
          <w:p w14:paraId="0C6E535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    统</w:t>
            </w:r>
          </w:p>
        </w:tc>
        <w:tc>
          <w:tcPr>
            <w:tcW w:w="9214" w:type="dxa"/>
            <w:vAlign w:val="center"/>
          </w:tcPr>
          <w:p w14:paraId="23CF57C8"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每月检查防火门、防火卷帘门周围有无影响门正常启闭的障碍物、门能否处于正常启、闭状态，门的附件是否齐全完好。</w:t>
            </w:r>
          </w:p>
          <w:p w14:paraId="5BBFB6ED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每季度检查下列功能：</w:t>
            </w:r>
          </w:p>
          <w:p w14:paraId="133EBC40"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1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⑴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试验自动方式启动防火门、防火卷帘门。抽检数量不少于总数的30%。</w:t>
            </w:r>
          </w:p>
          <w:p w14:paraId="66E689E3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fldChar w:fldCharType="begin"/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hint="eastAsia" w:ascii="宋体" w:hAnsi="宋体"/>
                <w:sz w:val="20"/>
                <w:szCs w:val="20"/>
              </w:rPr>
              <w:instrText xml:space="preserve">= 2 \* GB2</w:instrText>
            </w:r>
            <w:r>
              <w:rPr>
                <w:rFonts w:ascii="宋体" w:hAnsi="宋体"/>
                <w:sz w:val="20"/>
                <w:szCs w:val="20"/>
              </w:rPr>
              <w:instrText xml:space="preserve"> </w:instrText>
            </w:r>
            <w:r>
              <w:rPr>
                <w:rFonts w:ascii="宋体" w:hAnsi="宋体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/>
                <w:sz w:val="20"/>
                <w:szCs w:val="20"/>
              </w:rPr>
              <w:t>⑵</w:t>
            </w:r>
            <w:r>
              <w:rPr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用手动接钮启动防火卷帘门。抽检数不少于总数的30%。</w:t>
            </w:r>
          </w:p>
        </w:tc>
      </w:tr>
      <w:tr w14:paraId="21964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540" w:type="dxa"/>
            <w:vAlign w:val="center"/>
          </w:tcPr>
          <w:p w14:paraId="7F2BE797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防排烟</w:t>
            </w:r>
          </w:p>
          <w:p w14:paraId="2B7625BE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系  统</w:t>
            </w:r>
          </w:p>
        </w:tc>
        <w:tc>
          <w:tcPr>
            <w:tcW w:w="9214" w:type="dxa"/>
            <w:vAlign w:val="center"/>
          </w:tcPr>
          <w:p w14:paraId="63016D1A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每月检查送风、排烟机房工作环境以及送风机、排烟机、电源控制柜、送风口、排烟口、防火阀等是否处于正常完好状态。</w:t>
            </w:r>
          </w:p>
          <w:p w14:paraId="0E2D28F4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每半年检查下列功能：</w:t>
            </w:r>
          </w:p>
          <w:p w14:paraId="4846D27B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⑴、</w:t>
            </w:r>
            <w:r>
              <w:rPr>
                <w:rFonts w:ascii="宋体" w:hAnsi="宋体"/>
                <w:sz w:val="20"/>
                <w:szCs w:val="20"/>
              </w:rPr>
              <w:t>试验自动方式打开排烟口、启动送风机、排烟机。抽检楼层数量不少于总数50%。</w:t>
            </w:r>
          </w:p>
          <w:p w14:paraId="14EE4D6B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⑵、</w:t>
            </w:r>
            <w:r>
              <w:rPr>
                <w:rFonts w:ascii="宋体" w:hAnsi="宋体"/>
                <w:sz w:val="20"/>
                <w:szCs w:val="20"/>
              </w:rPr>
              <w:t>试验自动方式关闭空调系统、电动防火阀。</w:t>
            </w:r>
          </w:p>
          <w:p w14:paraId="097F5A09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⑶、</w:t>
            </w:r>
            <w:r>
              <w:rPr>
                <w:rFonts w:ascii="宋体" w:hAnsi="宋体"/>
                <w:sz w:val="20"/>
                <w:szCs w:val="20"/>
              </w:rPr>
              <w:t>试验手动方式关闭防火阀，抽检数量不少于总数的20%。</w:t>
            </w:r>
          </w:p>
        </w:tc>
      </w:tr>
      <w:tr w14:paraId="63EFED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540" w:type="dxa"/>
            <w:vAlign w:val="center"/>
          </w:tcPr>
          <w:p w14:paraId="10906153">
            <w:pPr>
              <w:ind w:left="-107" w:leftChars="-51" w:right="-107" w:rightChars="-5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应急照明</w:t>
            </w:r>
          </w:p>
          <w:p w14:paraId="544AAFA8">
            <w:pPr>
              <w:ind w:left="-107" w:leftChars="-51" w:right="-107" w:rightChars="-5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疏散指示</w:t>
            </w:r>
          </w:p>
        </w:tc>
        <w:tc>
          <w:tcPr>
            <w:tcW w:w="9214" w:type="dxa"/>
            <w:vAlign w:val="center"/>
          </w:tcPr>
          <w:p w14:paraId="009EEF60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每月检查安全出口、疏散通道、重要场所的应急照明和疏散指示标志是否处于正常完好状态。</w:t>
            </w:r>
          </w:p>
          <w:p w14:paraId="185C9C13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每月试验应急照明和疏散指示灯的工作照度和疏散照度。抽检数量不少于总数的20%。</w:t>
            </w:r>
          </w:p>
        </w:tc>
      </w:tr>
      <w:tr w14:paraId="38201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540" w:type="dxa"/>
            <w:vAlign w:val="center"/>
          </w:tcPr>
          <w:p w14:paraId="2E1E74E2">
            <w:pPr>
              <w:ind w:left="-107" w:leftChars="-51" w:right="-107" w:rightChars="-5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消防通讯</w:t>
            </w:r>
          </w:p>
          <w:p w14:paraId="5139596D">
            <w:pPr>
              <w:ind w:left="-107" w:leftChars="-51" w:right="-107" w:rightChars="-5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事故广播</w:t>
            </w:r>
          </w:p>
        </w:tc>
        <w:tc>
          <w:tcPr>
            <w:tcW w:w="9214" w:type="dxa"/>
            <w:vAlign w:val="center"/>
          </w:tcPr>
          <w:p w14:paraId="1FC1CF78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每月检查电话插孔、重要场所的对讲电话、播音设备、扬声器是否处于正常完好状态。</w:t>
            </w:r>
          </w:p>
          <w:p w14:paraId="491A7CDC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每季度检查下列功能：</w:t>
            </w:r>
          </w:p>
          <w:p w14:paraId="45FF363A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⑴、</w:t>
            </w:r>
            <w:r>
              <w:rPr>
                <w:rFonts w:ascii="宋体" w:hAnsi="宋体"/>
                <w:sz w:val="20"/>
                <w:szCs w:val="20"/>
              </w:rPr>
              <w:t>试验电话插孔和对讲电话的通话质量，抽检数量不少于总数的30%。</w:t>
            </w:r>
          </w:p>
          <w:p w14:paraId="489B50C6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⑵、</w:t>
            </w:r>
            <w:r>
              <w:rPr>
                <w:rFonts w:ascii="宋体" w:hAnsi="宋体"/>
                <w:sz w:val="20"/>
                <w:szCs w:val="20"/>
              </w:rPr>
              <w:t>试验选层广播。抽检数量不少于总数的30%。</w:t>
            </w:r>
          </w:p>
          <w:p w14:paraId="713F1221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⑶、</w:t>
            </w:r>
            <w:r>
              <w:rPr>
                <w:rFonts w:ascii="宋体" w:hAnsi="宋体"/>
                <w:sz w:val="20"/>
                <w:szCs w:val="20"/>
              </w:rPr>
              <w:t>试验从背景音乐状态下强切至事故应急广播状态的功能。</w:t>
            </w:r>
          </w:p>
        </w:tc>
      </w:tr>
      <w:tr w14:paraId="15207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40" w:type="dxa"/>
            <w:vAlign w:val="center"/>
          </w:tcPr>
          <w:p w14:paraId="6DE91278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其他设施</w:t>
            </w:r>
          </w:p>
        </w:tc>
        <w:tc>
          <w:tcPr>
            <w:tcW w:w="9214" w:type="dxa"/>
            <w:vAlign w:val="center"/>
          </w:tcPr>
          <w:p w14:paraId="0C9067BD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1、</w:t>
            </w:r>
            <w:r>
              <w:rPr>
                <w:rFonts w:ascii="宋体" w:hAnsi="宋体"/>
                <w:sz w:val="20"/>
                <w:szCs w:val="20"/>
              </w:rPr>
              <w:t>每月检查消防电梯迫降按钮、集水坑排水设备、缓降器、氧气或空气呼吸器、自救逃生设备，消防电源及切换设备是否处于正常完好状态。试验自备发电设施能否正常发电。</w:t>
            </w:r>
          </w:p>
          <w:p w14:paraId="0E08EB4A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2、</w:t>
            </w:r>
            <w:r>
              <w:rPr>
                <w:rFonts w:ascii="宋体" w:hAnsi="宋体"/>
                <w:sz w:val="20"/>
                <w:szCs w:val="20"/>
              </w:rPr>
              <w:t>每季度检查下列功能：</w:t>
            </w:r>
          </w:p>
          <w:p w14:paraId="31E4DCE2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⑴、</w:t>
            </w:r>
            <w:r>
              <w:rPr>
                <w:rFonts w:ascii="宋体" w:hAnsi="宋体"/>
                <w:sz w:val="20"/>
                <w:szCs w:val="20"/>
              </w:rPr>
              <w:t>试验消防电源的末端切换功能。</w:t>
            </w:r>
          </w:p>
          <w:p w14:paraId="7241145F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⑵、</w:t>
            </w:r>
            <w:r>
              <w:rPr>
                <w:rFonts w:ascii="宋体" w:hAnsi="宋体"/>
                <w:sz w:val="20"/>
                <w:szCs w:val="20"/>
              </w:rPr>
              <w:t>切断非消防电源功能。</w:t>
            </w:r>
          </w:p>
          <w:p w14:paraId="471BAC88">
            <w:pPr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⑶、</w:t>
            </w:r>
            <w:r>
              <w:rPr>
                <w:rFonts w:ascii="宋体" w:hAnsi="宋体"/>
                <w:sz w:val="20"/>
                <w:szCs w:val="20"/>
              </w:rPr>
              <w:t>试验消防电梯的紧急迫降功能。</w:t>
            </w:r>
          </w:p>
        </w:tc>
      </w:tr>
      <w:tr w14:paraId="17C32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540" w:type="dxa"/>
            <w:vAlign w:val="center"/>
          </w:tcPr>
          <w:p w14:paraId="046ABFFC">
            <w:pPr>
              <w:ind w:left="-106" w:leftChars="-51" w:right="-107" w:rightChars="-51" w:hanging="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移动灭火</w:t>
            </w:r>
          </w:p>
          <w:p w14:paraId="5903E263">
            <w:pPr>
              <w:ind w:left="-106" w:leftChars="-51" w:right="-107" w:rightChars="-51" w:hanging="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器材</w:t>
            </w:r>
          </w:p>
        </w:tc>
        <w:tc>
          <w:tcPr>
            <w:tcW w:w="9214" w:type="dxa"/>
            <w:vAlign w:val="center"/>
          </w:tcPr>
          <w:p w14:paraId="2A4C8607">
            <w:pPr>
              <w:numPr>
                <w:ilvl w:val="0"/>
                <w:numId w:val="3"/>
              </w:numPr>
              <w:tabs>
                <w:tab w:val="clear" w:pos="360"/>
              </w:tabs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每月检查灭火器种类、数量、设置位置、标志等是否符合要求。</w:t>
            </w:r>
          </w:p>
          <w:p w14:paraId="16DE07E4">
            <w:pPr>
              <w:numPr>
                <w:ilvl w:val="0"/>
                <w:numId w:val="3"/>
              </w:numPr>
              <w:tabs>
                <w:tab w:val="clear" w:pos="360"/>
              </w:tabs>
              <w:spacing w:line="34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每季度检查灭火器压力、重量、有效期等必要时做喷射试验。抽检数量不少于总数的30%。</w:t>
            </w:r>
          </w:p>
        </w:tc>
      </w:tr>
      <w:tr w14:paraId="6CFA64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0" w:type="dxa"/>
            <w:vAlign w:val="center"/>
          </w:tcPr>
          <w:p w14:paraId="4306F95E">
            <w:pPr>
              <w:ind w:left="-107" w:leftChars="-51" w:right="-107" w:rightChars="-51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档案文件</w:t>
            </w:r>
          </w:p>
        </w:tc>
        <w:tc>
          <w:tcPr>
            <w:tcW w:w="9214" w:type="dxa"/>
            <w:vAlign w:val="center"/>
          </w:tcPr>
          <w:p w14:paraId="35E743E8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乙方</w:t>
            </w:r>
            <w:r>
              <w:rPr>
                <w:rFonts w:hint="eastAsia" w:ascii="宋体" w:hAnsi="宋体"/>
                <w:sz w:val="20"/>
                <w:szCs w:val="20"/>
              </w:rPr>
              <w:t>协助</w:t>
            </w:r>
            <w:r>
              <w:rPr>
                <w:rFonts w:ascii="宋体" w:hAnsi="宋体"/>
                <w:sz w:val="20"/>
                <w:szCs w:val="20"/>
              </w:rPr>
              <w:t>甲方建立建全各类消防管理档案。</w:t>
            </w:r>
          </w:p>
        </w:tc>
      </w:tr>
    </w:tbl>
    <w:p w14:paraId="4957D367"/>
    <w:p w14:paraId="51FD880E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312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DEEFD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DEEFD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1"/>
    <w:multiLevelType w:val="multilevel"/>
    <w:tmpl w:val="00000001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2"/>
    <w:multiLevelType w:val="multilevel"/>
    <w:tmpl w:val="00000002"/>
    <w:lvl w:ilvl="0" w:tentative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6B53"/>
    <w:rsid w:val="000F2CB8"/>
    <w:rsid w:val="005A10FC"/>
    <w:rsid w:val="011B0745"/>
    <w:rsid w:val="02FD3044"/>
    <w:rsid w:val="037D56E7"/>
    <w:rsid w:val="05B64EE1"/>
    <w:rsid w:val="05EC1B62"/>
    <w:rsid w:val="05F3434A"/>
    <w:rsid w:val="061816F7"/>
    <w:rsid w:val="06367DD0"/>
    <w:rsid w:val="080D4B60"/>
    <w:rsid w:val="09116625"/>
    <w:rsid w:val="09860127"/>
    <w:rsid w:val="098D7D07"/>
    <w:rsid w:val="0B2C354F"/>
    <w:rsid w:val="0C114911"/>
    <w:rsid w:val="0CBB17B0"/>
    <w:rsid w:val="0D8D4779"/>
    <w:rsid w:val="107160EB"/>
    <w:rsid w:val="10B244F7"/>
    <w:rsid w:val="10D601E5"/>
    <w:rsid w:val="127B54E8"/>
    <w:rsid w:val="14E1184E"/>
    <w:rsid w:val="15DC6F4A"/>
    <w:rsid w:val="15FC6B53"/>
    <w:rsid w:val="17EC7053"/>
    <w:rsid w:val="18893D8F"/>
    <w:rsid w:val="19FB112C"/>
    <w:rsid w:val="1A3A7A37"/>
    <w:rsid w:val="1A772A39"/>
    <w:rsid w:val="1A9923CA"/>
    <w:rsid w:val="1C931680"/>
    <w:rsid w:val="1D187DD7"/>
    <w:rsid w:val="208A0FEC"/>
    <w:rsid w:val="21BB53E7"/>
    <w:rsid w:val="23384D2F"/>
    <w:rsid w:val="239327B9"/>
    <w:rsid w:val="23B73EA6"/>
    <w:rsid w:val="2423778D"/>
    <w:rsid w:val="24965FF8"/>
    <w:rsid w:val="24D740D4"/>
    <w:rsid w:val="25B862F2"/>
    <w:rsid w:val="26CA3EF0"/>
    <w:rsid w:val="271D5A15"/>
    <w:rsid w:val="27CB7B5F"/>
    <w:rsid w:val="29954C89"/>
    <w:rsid w:val="2CCC7C08"/>
    <w:rsid w:val="2D8C63A3"/>
    <w:rsid w:val="2E7D3F3E"/>
    <w:rsid w:val="2F5051AF"/>
    <w:rsid w:val="2FAA0D63"/>
    <w:rsid w:val="302A5A00"/>
    <w:rsid w:val="303D5733"/>
    <w:rsid w:val="30731155"/>
    <w:rsid w:val="307D6477"/>
    <w:rsid w:val="30F93D50"/>
    <w:rsid w:val="316B4D20"/>
    <w:rsid w:val="31E3230A"/>
    <w:rsid w:val="32024E86"/>
    <w:rsid w:val="323B5CA2"/>
    <w:rsid w:val="34D402BA"/>
    <w:rsid w:val="35261ED3"/>
    <w:rsid w:val="37DF40F8"/>
    <w:rsid w:val="388D4D7E"/>
    <w:rsid w:val="38BD5663"/>
    <w:rsid w:val="394B2DDE"/>
    <w:rsid w:val="39912A9E"/>
    <w:rsid w:val="39BA1BA2"/>
    <w:rsid w:val="39FE23D7"/>
    <w:rsid w:val="3A704957"/>
    <w:rsid w:val="3A8A6C8D"/>
    <w:rsid w:val="3AC86541"/>
    <w:rsid w:val="3AD43138"/>
    <w:rsid w:val="3CD45671"/>
    <w:rsid w:val="3D915A5C"/>
    <w:rsid w:val="3DD3179B"/>
    <w:rsid w:val="3E09759C"/>
    <w:rsid w:val="3E444130"/>
    <w:rsid w:val="41CE66D0"/>
    <w:rsid w:val="42072045"/>
    <w:rsid w:val="444E7AB7"/>
    <w:rsid w:val="46C2478C"/>
    <w:rsid w:val="4738011B"/>
    <w:rsid w:val="47A427DA"/>
    <w:rsid w:val="488C3771"/>
    <w:rsid w:val="489968F1"/>
    <w:rsid w:val="49E36EF3"/>
    <w:rsid w:val="4A8E3F79"/>
    <w:rsid w:val="4B75001F"/>
    <w:rsid w:val="4CFB27A6"/>
    <w:rsid w:val="4D07739D"/>
    <w:rsid w:val="4D4B54DB"/>
    <w:rsid w:val="4D5C41E4"/>
    <w:rsid w:val="4E807407"/>
    <w:rsid w:val="4EB26E94"/>
    <w:rsid w:val="4EF809E5"/>
    <w:rsid w:val="4F9C201E"/>
    <w:rsid w:val="4FF27E90"/>
    <w:rsid w:val="51917235"/>
    <w:rsid w:val="5199616A"/>
    <w:rsid w:val="522E717A"/>
    <w:rsid w:val="564F4138"/>
    <w:rsid w:val="59F3295D"/>
    <w:rsid w:val="5AB33795"/>
    <w:rsid w:val="5B7E082A"/>
    <w:rsid w:val="5B914A01"/>
    <w:rsid w:val="5C515CA6"/>
    <w:rsid w:val="5C576246"/>
    <w:rsid w:val="5D0940FB"/>
    <w:rsid w:val="5D0D455B"/>
    <w:rsid w:val="5D8B36D2"/>
    <w:rsid w:val="5FDB590B"/>
    <w:rsid w:val="60375715"/>
    <w:rsid w:val="604F09E7"/>
    <w:rsid w:val="61FA2BD4"/>
    <w:rsid w:val="62774811"/>
    <w:rsid w:val="632717A7"/>
    <w:rsid w:val="63894210"/>
    <w:rsid w:val="63AB4186"/>
    <w:rsid w:val="64C00105"/>
    <w:rsid w:val="658E6DFD"/>
    <w:rsid w:val="6732696D"/>
    <w:rsid w:val="68993147"/>
    <w:rsid w:val="6AF428B7"/>
    <w:rsid w:val="6C5B0466"/>
    <w:rsid w:val="6DB30807"/>
    <w:rsid w:val="6DF377ED"/>
    <w:rsid w:val="6E3A4A84"/>
    <w:rsid w:val="6EB84E00"/>
    <w:rsid w:val="6FB83C94"/>
    <w:rsid w:val="6FD33E02"/>
    <w:rsid w:val="70FF3D63"/>
    <w:rsid w:val="72D60AF4"/>
    <w:rsid w:val="741E71D7"/>
    <w:rsid w:val="74642285"/>
    <w:rsid w:val="74F40252"/>
    <w:rsid w:val="75306BE1"/>
    <w:rsid w:val="75705230"/>
    <w:rsid w:val="764C17F9"/>
    <w:rsid w:val="76580641"/>
    <w:rsid w:val="77BF5FFA"/>
    <w:rsid w:val="794E7636"/>
    <w:rsid w:val="7E2C3CBE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spacing w:line="340" w:lineRule="exact"/>
      <w:outlineLvl w:val="0"/>
    </w:pPr>
    <w:rPr>
      <w:b/>
      <w:bCs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0"/>
    </w:rPr>
  </w:style>
  <w:style w:type="paragraph" w:styleId="2">
    <w:name w:val="heading 3"/>
    <w:basedOn w:val="1"/>
    <w:unhideWhenUsed/>
    <w:qFormat/>
    <w:uiPriority w:val="0"/>
    <w:pPr>
      <w:widowControl/>
      <w:spacing w:before="100" w:beforeAutospacing="1" w:after="100" w:afterAutospacing="1"/>
      <w:jc w:val="center"/>
      <w:outlineLvl w:val="2"/>
    </w:pPr>
    <w:rPr>
      <w:rFonts w:ascii="宋体" w:hAnsi="宋体" w:eastAsia="宋体" w:cs="Times New Roman"/>
      <w:b/>
      <w:bCs/>
      <w:sz w:val="36"/>
      <w:szCs w:val="27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3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1">
    <w:name w:val="font4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styleId="12">
    <w:name w:val="List Paragraph"/>
    <w:basedOn w:val="1"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2399</Words>
  <Characters>2575</Characters>
  <Lines>0</Lines>
  <Paragraphs>0</Paragraphs>
  <TotalTime>3</TotalTime>
  <ScaleCrop>false</ScaleCrop>
  <LinksUpToDate>false</LinksUpToDate>
  <CharactersWithSpaces>2626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2026-04-27T00:31:00Z</dcterms:created>
  <dc:creator>WPS_1616989440</dc:creator>
  <cp:lastModifiedBy>无心人</cp:lastModifiedBy>
  <dcterms:modified xsi:type="dcterms:W3CDTF">2026-05-28T02:16:31Z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FF297CD3D41A4B1EA55D86DF0E91752B_13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